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CF" w:rsidRPr="00525097" w:rsidRDefault="008361CF" w:rsidP="008361CF">
      <w:pPr>
        <w:shd w:val="clear" w:color="auto" w:fill="FFFFFF"/>
        <w:spacing w:line="360" w:lineRule="auto"/>
        <w:ind w:firstLine="56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097">
        <w:rPr>
          <w:rFonts w:ascii="Times New Roman" w:hAnsi="Times New Roman" w:cs="Times New Roman"/>
          <w:b/>
          <w:sz w:val="24"/>
          <w:szCs w:val="24"/>
        </w:rPr>
        <w:t>Порядок и условия оплаты труда</w:t>
      </w:r>
    </w:p>
    <w:p w:rsidR="008361CF" w:rsidRPr="00525097" w:rsidRDefault="008361CF" w:rsidP="008361CF">
      <w:pPr>
        <w:shd w:val="clear" w:color="auto" w:fill="FFFFFF"/>
        <w:spacing w:line="360" w:lineRule="auto"/>
        <w:ind w:firstLine="56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097">
        <w:rPr>
          <w:rFonts w:ascii="Times New Roman" w:hAnsi="Times New Roman" w:cs="Times New Roman"/>
          <w:b/>
          <w:sz w:val="24"/>
          <w:szCs w:val="24"/>
        </w:rPr>
        <w:t>1. Основные условия оплаты труда</w:t>
      </w:r>
    </w:p>
    <w:p w:rsidR="008361CF" w:rsidRPr="002F7BD8" w:rsidRDefault="008361CF" w:rsidP="008361CF">
      <w:pPr>
        <w:shd w:val="clear" w:color="auto" w:fill="FFFFFF"/>
        <w:tabs>
          <w:tab w:val="left" w:pos="941"/>
        </w:tabs>
        <w:spacing w:line="360" w:lineRule="auto"/>
        <w:ind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097">
        <w:rPr>
          <w:rFonts w:ascii="Times New Roman" w:hAnsi="Times New Roman" w:cs="Times New Roman"/>
          <w:spacing w:val="-4"/>
          <w:sz w:val="24"/>
          <w:szCs w:val="24"/>
        </w:rPr>
        <w:t>1.</w:t>
      </w:r>
      <w:r w:rsidRPr="005250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5097">
        <w:rPr>
          <w:rFonts w:ascii="Times New Roman" w:eastAsia="Times New Roman" w:hAnsi="Times New Roman" w:cs="Times New Roman"/>
          <w:sz w:val="24"/>
          <w:szCs w:val="24"/>
        </w:rPr>
        <w:t>Размеры окладов (должностных окладов), ставок заработной платы определяются по профессиональным квалификационным группам (ПКГ) и квалификационным уровням (ПУ) и выплачиваются с учетом нормы часов рабочего времени из расчета занятости в течение учетного периода, установленной для каждой категории работников федеральными законами,</w:t>
      </w:r>
      <w:r w:rsidRPr="00525097">
        <w:rPr>
          <w:rFonts w:ascii="Times New Roman" w:eastAsia="Times New Roman" w:hAnsi="Times New Roman" w:cs="Times New Roman"/>
          <w:sz w:val="24"/>
          <w:szCs w:val="24"/>
        </w:rPr>
        <w:br/>
        <w:t xml:space="preserve">иными нормативными правовыми актами Российской Федерации, локальными </w:t>
      </w:r>
      <w:r w:rsidRPr="002F7BD8">
        <w:rPr>
          <w:rFonts w:ascii="Times New Roman" w:eastAsia="Times New Roman" w:hAnsi="Times New Roman" w:cs="Times New Roman"/>
          <w:sz w:val="24"/>
          <w:szCs w:val="24"/>
        </w:rPr>
        <w:t>нормативными актами организации, осуществляющей образовательную деятельность.</w:t>
      </w:r>
      <w:proofErr w:type="gramEnd"/>
    </w:p>
    <w:p w:rsidR="008361CF" w:rsidRPr="002F7BD8" w:rsidRDefault="008361CF" w:rsidP="008361CF">
      <w:pPr>
        <w:shd w:val="clear" w:color="auto" w:fill="FFFFFF"/>
        <w:tabs>
          <w:tab w:val="left" w:pos="998"/>
        </w:tabs>
        <w:spacing w:line="360" w:lineRule="auto"/>
        <w:ind w:firstLine="576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F7BD8">
        <w:rPr>
          <w:rFonts w:ascii="Times New Roman" w:eastAsia="Times New Roman" w:hAnsi="Times New Roman" w:cs="Times New Roman"/>
          <w:sz w:val="24"/>
          <w:szCs w:val="24"/>
        </w:rPr>
        <w:t>Для упорядочения системы оплаты труда в рамках уставной деятельности организации, осуществляющей образовательную деятельность, размеры должностных окладов работников устанавливаются в</w:t>
      </w:r>
      <w:r w:rsidRPr="002F7B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F7BD8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</w:t>
      </w:r>
      <w:r w:rsidRPr="002F7BD8">
        <w:rPr>
          <w:rFonts w:ascii="Times New Roman" w:eastAsia="Times New Roman" w:hAnsi="Times New Roman" w:cs="Times New Roman"/>
          <w:iCs/>
          <w:sz w:val="24"/>
          <w:szCs w:val="24"/>
        </w:rPr>
        <w:t>с Приложениями №№</w:t>
      </w:r>
    </w:p>
    <w:p w:rsidR="008361CF" w:rsidRPr="002F7BD8" w:rsidRDefault="008361CF" w:rsidP="008361CF">
      <w:pPr>
        <w:shd w:val="clear" w:color="auto" w:fill="FFFFFF"/>
        <w:tabs>
          <w:tab w:val="left" w:pos="998"/>
        </w:tabs>
        <w:spacing w:line="360" w:lineRule="auto"/>
        <w:ind w:firstLine="5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BD8">
        <w:rPr>
          <w:rFonts w:ascii="Times New Roman" w:hAnsi="Times New Roman" w:cs="Times New Roman"/>
          <w:color w:val="000000"/>
          <w:sz w:val="24"/>
          <w:szCs w:val="24"/>
        </w:rPr>
        <w:t xml:space="preserve">Размеры повышающих коэффициентов и рассчитанные на этой основе размеры должностных окладов </w:t>
      </w:r>
      <w:proofErr w:type="gramStart"/>
      <w:r w:rsidRPr="002F7BD8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2F7BD8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соответствующим  ПКГ и ПУ представлены в Приложении №№</w:t>
      </w:r>
    </w:p>
    <w:p w:rsidR="008361CF" w:rsidRPr="00525097" w:rsidRDefault="008361CF" w:rsidP="008361CF">
      <w:pPr>
        <w:shd w:val="clear" w:color="auto" w:fill="FFFFFF"/>
        <w:spacing w:line="360" w:lineRule="auto"/>
        <w:ind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BD8">
        <w:rPr>
          <w:rFonts w:ascii="Times New Roman" w:eastAsia="Times New Roman" w:hAnsi="Times New Roman" w:cs="Times New Roman"/>
          <w:sz w:val="24"/>
          <w:szCs w:val="24"/>
        </w:rPr>
        <w:t>Руководитель организации, осуществляющей образовательную деятельность,    имеет     право     устанавливать     индивидуальный     размер должностного   оклада  педагогическим</w:t>
      </w:r>
      <w:r w:rsidRPr="00525097">
        <w:rPr>
          <w:rFonts w:ascii="Times New Roman" w:eastAsia="Times New Roman" w:hAnsi="Times New Roman" w:cs="Times New Roman"/>
          <w:sz w:val="24"/>
          <w:szCs w:val="24"/>
        </w:rPr>
        <w:t xml:space="preserve"> работникам, видом профессиональной деятельности которых является дошкольное образование, начальное общее образование, основное общее образование, среднее общее образования    без   ограничения      максимальными размерами.</w:t>
      </w:r>
    </w:p>
    <w:p w:rsidR="008361CF" w:rsidRPr="00525097" w:rsidRDefault="008361CF" w:rsidP="008361CF">
      <w:pPr>
        <w:shd w:val="clear" w:color="auto" w:fill="FFFFFF"/>
        <w:spacing w:line="360" w:lineRule="auto"/>
        <w:ind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097">
        <w:rPr>
          <w:rFonts w:ascii="Times New Roman" w:eastAsia="Times New Roman" w:hAnsi="Times New Roman" w:cs="Times New Roman"/>
          <w:sz w:val="24"/>
          <w:szCs w:val="24"/>
        </w:rPr>
        <w:t>К минимальным размерам окладов (ставкам заработной платы) могут устанавливаться повышающие коэффициенты.</w:t>
      </w:r>
    </w:p>
    <w:p w:rsidR="008361CF" w:rsidRPr="00525097" w:rsidRDefault="008361CF" w:rsidP="008361CF">
      <w:pPr>
        <w:shd w:val="clear" w:color="auto" w:fill="FFFFFF"/>
        <w:spacing w:line="360" w:lineRule="auto"/>
        <w:ind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097">
        <w:rPr>
          <w:rFonts w:ascii="Times New Roman" w:eastAsia="Times New Roman" w:hAnsi="Times New Roman" w:cs="Times New Roman"/>
          <w:sz w:val="24"/>
          <w:szCs w:val="24"/>
        </w:rPr>
        <w:t xml:space="preserve">Повышающие коэффициенты устанавливаются к минимальным должностным окладам по квалификационным уровням соответствующих профессиональных квалификационных групп ПКГ. Применение повышающих коэффициентов не образует новый оклад и не учитывается при начислении иных компенсационных и стимулирующих выплат. Размер выплат по повышающему коэффициенту </w:t>
      </w:r>
      <w:r w:rsidRPr="00525097">
        <w:rPr>
          <w:rFonts w:ascii="Times New Roman" w:eastAsia="Times New Roman" w:hAnsi="Times New Roman" w:cs="Times New Roman"/>
          <w:iCs/>
          <w:sz w:val="24"/>
          <w:szCs w:val="24"/>
        </w:rPr>
        <w:t>к</w:t>
      </w:r>
      <w:r w:rsidRPr="005250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25097">
        <w:rPr>
          <w:rFonts w:ascii="Times New Roman" w:eastAsia="Times New Roman" w:hAnsi="Times New Roman" w:cs="Times New Roman"/>
          <w:sz w:val="24"/>
          <w:szCs w:val="24"/>
        </w:rPr>
        <w:t>должностному окладу определяется путем умножения размера должностного оклада на повышающий коэффициент.</w:t>
      </w:r>
    </w:p>
    <w:p w:rsidR="008361CF" w:rsidRPr="00525097" w:rsidRDefault="008361CF" w:rsidP="008361CF">
      <w:pPr>
        <w:shd w:val="clear" w:color="auto" w:fill="FFFFFF"/>
        <w:spacing w:line="360" w:lineRule="auto"/>
        <w:ind w:firstLine="566"/>
        <w:contextualSpacing/>
        <w:rPr>
          <w:rFonts w:ascii="Times New Roman" w:hAnsi="Times New Roman" w:cs="Times New Roman"/>
          <w:sz w:val="24"/>
          <w:szCs w:val="24"/>
        </w:rPr>
      </w:pPr>
      <w:r w:rsidRPr="00525097">
        <w:rPr>
          <w:rFonts w:ascii="Times New Roman" w:eastAsia="Times New Roman" w:hAnsi="Times New Roman" w:cs="Times New Roman"/>
          <w:sz w:val="24"/>
          <w:szCs w:val="24"/>
        </w:rPr>
        <w:t>К повышающим коэффициентам относятся:</w:t>
      </w:r>
    </w:p>
    <w:p w:rsidR="008361CF" w:rsidRPr="00525097" w:rsidRDefault="008361CF" w:rsidP="008361CF">
      <w:pPr>
        <w:shd w:val="clear" w:color="auto" w:fill="FFFFFF"/>
        <w:spacing w:line="360" w:lineRule="auto"/>
        <w:ind w:firstLine="5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097">
        <w:rPr>
          <w:rFonts w:ascii="Times New Roman" w:eastAsia="Times New Roman" w:hAnsi="Times New Roman" w:cs="Times New Roman"/>
          <w:sz w:val="24"/>
          <w:szCs w:val="24"/>
        </w:rPr>
        <w:t>Персональный повышающий коэффициент к окладу работника, устанавливаемый руководителем организации, осуществляющей образовательную деятельность с учетом профессиональной подготовки работника, степени самостоятельности, инициативности и ответственности данного работника при выполнении поставленных задач и других факторов;</w:t>
      </w:r>
    </w:p>
    <w:p w:rsidR="008361CF" w:rsidRPr="00525097" w:rsidRDefault="008361CF" w:rsidP="008361CF">
      <w:pPr>
        <w:shd w:val="clear" w:color="auto" w:fill="FFFFFF"/>
        <w:spacing w:line="360" w:lineRule="auto"/>
        <w:ind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097">
        <w:rPr>
          <w:rFonts w:ascii="Times New Roman" w:eastAsia="Times New Roman" w:hAnsi="Times New Roman" w:cs="Times New Roman"/>
          <w:sz w:val="24"/>
          <w:szCs w:val="24"/>
        </w:rPr>
        <w:lastRenderedPageBreak/>
        <w:t>Повышающий коэффициент по занимаемой должности, профессии, в зависимости от повышенной сложности и важности выполняемой работы, по данной должности, уровня ответственности по должности и других критериев значимости должности или профессии;</w:t>
      </w:r>
    </w:p>
    <w:p w:rsidR="008361CF" w:rsidRPr="00525097" w:rsidRDefault="008361CF" w:rsidP="008361CF">
      <w:pPr>
        <w:shd w:val="clear" w:color="auto" w:fill="FFFFFF"/>
        <w:spacing w:line="360" w:lineRule="auto"/>
        <w:ind w:firstLine="5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097">
        <w:rPr>
          <w:rFonts w:ascii="Times New Roman" w:eastAsia="Times New Roman" w:hAnsi="Times New Roman" w:cs="Times New Roman"/>
          <w:sz w:val="24"/>
          <w:szCs w:val="24"/>
        </w:rPr>
        <w:t xml:space="preserve">Повышающий коэффициент по структурному подразделению, устанавливаемый при наличии особой важности и ответственности деятельности подразделения </w:t>
      </w:r>
      <w:proofErr w:type="gramStart"/>
      <w:r w:rsidRPr="00525097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525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25097">
        <w:rPr>
          <w:rFonts w:ascii="Times New Roman" w:eastAsia="Times New Roman" w:hAnsi="Times New Roman" w:cs="Times New Roman"/>
          <w:sz w:val="24"/>
          <w:szCs w:val="24"/>
        </w:rPr>
        <w:t>все</w:t>
      </w:r>
      <w:proofErr w:type="gramEnd"/>
      <w:r w:rsidRPr="00525097">
        <w:rPr>
          <w:rFonts w:ascii="Times New Roman" w:eastAsia="Times New Roman" w:hAnsi="Times New Roman" w:cs="Times New Roman"/>
          <w:sz w:val="24"/>
          <w:szCs w:val="24"/>
        </w:rPr>
        <w:t xml:space="preserve"> организации, осуществляющей образовательную деятельность,</w:t>
      </w:r>
    </w:p>
    <w:p w:rsidR="008361CF" w:rsidRPr="00525097" w:rsidRDefault="008361CF" w:rsidP="008361CF">
      <w:pPr>
        <w:shd w:val="clear" w:color="auto" w:fill="FFFFFF"/>
        <w:spacing w:line="360" w:lineRule="auto"/>
        <w:ind w:firstLine="6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097">
        <w:rPr>
          <w:rFonts w:ascii="Times New Roman" w:eastAsia="Times New Roman" w:hAnsi="Times New Roman" w:cs="Times New Roman"/>
          <w:sz w:val="24"/>
          <w:szCs w:val="24"/>
        </w:rPr>
        <w:t>Повышающие коэффициенты по указанным выше позициям  устанавливаются руководителем организации, осуществляющей образовательную деятельность, с согласия выборного представительного органа, осуществляющего общее руководство организацией.</w:t>
      </w:r>
    </w:p>
    <w:p w:rsidR="008361CF" w:rsidRPr="00525097" w:rsidRDefault="008361CF" w:rsidP="008361CF">
      <w:pPr>
        <w:shd w:val="clear" w:color="auto" w:fill="FFFFFF"/>
        <w:spacing w:line="360" w:lineRule="auto"/>
        <w:ind w:firstLine="6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097">
        <w:rPr>
          <w:rFonts w:ascii="Times New Roman" w:eastAsia="Times New Roman" w:hAnsi="Times New Roman" w:cs="Times New Roman"/>
          <w:sz w:val="24"/>
          <w:szCs w:val="24"/>
        </w:rPr>
        <w:t xml:space="preserve">Перечисленные повышающие коэффициенты могут устанавливаться как на определенный срок, так и на постоянной основе. </w:t>
      </w:r>
    </w:p>
    <w:p w:rsidR="008361CF" w:rsidRPr="00525097" w:rsidRDefault="008361CF" w:rsidP="008361CF">
      <w:pPr>
        <w:shd w:val="clear" w:color="auto" w:fill="FFFFFF"/>
        <w:tabs>
          <w:tab w:val="left" w:pos="1085"/>
        </w:tabs>
        <w:spacing w:line="360" w:lineRule="auto"/>
        <w:ind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097">
        <w:rPr>
          <w:rFonts w:ascii="Times New Roman" w:eastAsia="Times New Roman" w:hAnsi="Times New Roman" w:cs="Times New Roman"/>
          <w:sz w:val="24"/>
          <w:szCs w:val="24"/>
        </w:rPr>
        <w:t>Размеры персональных повышающих коэффициентов к должностным окладам (ставкам заработной платы) назначаются руководителем организации, осуществляющей образовательную деятельность, в том числе по представлению руководителей структурных подразделений при условии наличия средств и устанавливаются приказом по организации, осуществляющей образовательную деятельность.</w:t>
      </w:r>
    </w:p>
    <w:p w:rsidR="008361CF" w:rsidRPr="00525097" w:rsidRDefault="008361CF" w:rsidP="008361CF">
      <w:pPr>
        <w:shd w:val="clear" w:color="auto" w:fill="FFFFFF"/>
        <w:tabs>
          <w:tab w:val="left" w:pos="922"/>
        </w:tabs>
        <w:spacing w:line="360" w:lineRule="auto"/>
        <w:ind w:firstLine="5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097">
        <w:rPr>
          <w:rFonts w:ascii="Times New Roman" w:eastAsia="Times New Roman" w:hAnsi="Times New Roman" w:cs="Times New Roman"/>
          <w:sz w:val="24"/>
          <w:szCs w:val="24"/>
        </w:rPr>
        <w:t xml:space="preserve">Штатное расписание формируется в соответствии с утвержденной структурой организации, осуществляющей образовательную деятельность, в разрезе источников финансирования и категорий персонала. В штатном расписании </w:t>
      </w:r>
      <w:proofErr w:type="gramStart"/>
      <w:r w:rsidRPr="00525097">
        <w:rPr>
          <w:rFonts w:ascii="Times New Roman" w:eastAsia="Times New Roman" w:hAnsi="Times New Roman" w:cs="Times New Roman"/>
          <w:sz w:val="24"/>
          <w:szCs w:val="24"/>
        </w:rPr>
        <w:t>организации, осуществляющей образовательную деятельность указываются</w:t>
      </w:r>
      <w:proofErr w:type="gramEnd"/>
      <w:r w:rsidRPr="00525097">
        <w:rPr>
          <w:rFonts w:ascii="Times New Roman" w:eastAsia="Times New Roman" w:hAnsi="Times New Roman" w:cs="Times New Roman"/>
          <w:sz w:val="24"/>
          <w:szCs w:val="24"/>
        </w:rPr>
        <w:t xml:space="preserve"> должности (профессии) работников, численность, должностные оклады, повышающие коэффициенты по должностям и профессиям в разрезе ПКГ и квалификационных уровней, выплаты компенсационного характера, производимые работникам, зачисленным на штатные должности. Штатное расписание и все изменения к нему утверждается руководителем организации, осуществляющей образовательную деятельность.</w:t>
      </w:r>
    </w:p>
    <w:p w:rsidR="008361CF" w:rsidRPr="00525097" w:rsidRDefault="008361CF" w:rsidP="008361CF">
      <w:pPr>
        <w:shd w:val="clear" w:color="auto" w:fill="FFFFFF"/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097">
        <w:rPr>
          <w:rFonts w:ascii="Times New Roman" w:hAnsi="Times New Roman" w:cs="Times New Roman"/>
          <w:b/>
          <w:bCs/>
          <w:sz w:val="24"/>
          <w:szCs w:val="24"/>
        </w:rPr>
        <w:t>Выплаты стимулирующего характера.</w:t>
      </w:r>
    </w:p>
    <w:p w:rsidR="008361CF" w:rsidRPr="00525097" w:rsidRDefault="008361CF" w:rsidP="008361CF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097">
        <w:rPr>
          <w:rFonts w:ascii="Times New Roman" w:hAnsi="Times New Roman" w:cs="Times New Roman"/>
          <w:b/>
          <w:bCs/>
          <w:sz w:val="24"/>
          <w:szCs w:val="24"/>
        </w:rPr>
        <w:t>Источники выплат стимулирующих надбавок и доплат.</w:t>
      </w:r>
    </w:p>
    <w:p w:rsidR="008361CF" w:rsidRPr="00525097" w:rsidRDefault="008361CF" w:rsidP="008361CF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5097">
        <w:rPr>
          <w:rFonts w:ascii="Times New Roman" w:hAnsi="Times New Roman" w:cs="Times New Roman"/>
          <w:bCs/>
          <w:sz w:val="24"/>
          <w:szCs w:val="24"/>
        </w:rPr>
        <w:t xml:space="preserve">Источниками выплат стимулирующих надбавок и доплат являются средства на оплату труда, формируемые за счет субсидии на финансовое обеспечение выполнения государственного задания на оказание государственных услуг (выполнение работ), средств целевых субсидий и средств, от приносящей доход деятельности. </w:t>
      </w:r>
    </w:p>
    <w:p w:rsidR="008361CF" w:rsidRPr="00525097" w:rsidRDefault="008361CF" w:rsidP="008361CF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097">
        <w:rPr>
          <w:rFonts w:ascii="Times New Roman" w:hAnsi="Times New Roman" w:cs="Times New Roman"/>
          <w:bCs/>
          <w:sz w:val="24"/>
          <w:szCs w:val="24"/>
        </w:rPr>
        <w:t xml:space="preserve">При этом объем средств на указанные выплаты составляет не менее 30 процентов средств на оплату труда, формируемых за счет субсидии на финансовое обеспечение </w:t>
      </w:r>
      <w:r w:rsidRPr="00525097">
        <w:rPr>
          <w:rFonts w:ascii="Times New Roman" w:hAnsi="Times New Roman" w:cs="Times New Roman"/>
          <w:bCs/>
          <w:sz w:val="24"/>
          <w:szCs w:val="24"/>
        </w:rPr>
        <w:lastRenderedPageBreak/>
        <w:t>выполнения государственного задания на оказание государственных услуг (выполнение работ).</w:t>
      </w:r>
      <w:r w:rsidRPr="005250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1CF" w:rsidRPr="00525097" w:rsidRDefault="008361CF" w:rsidP="008361CF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5097">
        <w:rPr>
          <w:rFonts w:ascii="Times New Roman" w:hAnsi="Times New Roman" w:cs="Times New Roman"/>
          <w:bCs/>
          <w:sz w:val="24"/>
          <w:szCs w:val="24"/>
        </w:rPr>
        <w:t>Помимо указанного фонда на стимулирование работников, на выплату стимулирующих надбавок и доплат из вышеуказанных средств может использоваться  экономия фонда оплаты труда организации, осуществляющей образовательную деятельность.</w:t>
      </w:r>
    </w:p>
    <w:p w:rsidR="008361CF" w:rsidRPr="00525097" w:rsidRDefault="008361CF" w:rsidP="008361CF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5097">
        <w:rPr>
          <w:rFonts w:ascii="Times New Roman" w:hAnsi="Times New Roman" w:cs="Times New Roman"/>
          <w:bCs/>
          <w:sz w:val="24"/>
          <w:szCs w:val="24"/>
        </w:rPr>
        <w:t>Экономия по коммунальным услугам и материальным затратам может направляться на выплаты стимулирующего характера.</w:t>
      </w:r>
    </w:p>
    <w:p w:rsidR="008361CF" w:rsidRPr="00525097" w:rsidRDefault="008361CF" w:rsidP="008361CF">
      <w:pPr>
        <w:shd w:val="clear" w:color="auto" w:fill="FFFFFF"/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097">
        <w:rPr>
          <w:rFonts w:ascii="Times New Roman" w:hAnsi="Times New Roman" w:cs="Times New Roman"/>
          <w:b/>
          <w:bCs/>
          <w:sz w:val="24"/>
          <w:szCs w:val="24"/>
        </w:rPr>
        <w:t>Порядок установления стимулирующих надбавок и доплат.</w:t>
      </w:r>
    </w:p>
    <w:p w:rsidR="008361CF" w:rsidRPr="00525097" w:rsidRDefault="008361CF" w:rsidP="008361CF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5097">
        <w:rPr>
          <w:rFonts w:ascii="Times New Roman" w:hAnsi="Times New Roman" w:cs="Times New Roman"/>
          <w:bCs/>
          <w:sz w:val="24"/>
          <w:szCs w:val="24"/>
        </w:rPr>
        <w:t xml:space="preserve">К выплатам стимулирующего характера относятся выплаты, направленные на стимулирование работника </w:t>
      </w:r>
      <w:r w:rsidRPr="00CD76A3">
        <w:rPr>
          <w:rFonts w:ascii="Times New Roman" w:hAnsi="Times New Roman" w:cs="Times New Roman"/>
          <w:bCs/>
          <w:sz w:val="24"/>
          <w:szCs w:val="24"/>
        </w:rPr>
        <w:t>к качественному результату</w:t>
      </w:r>
      <w:r w:rsidRPr="00525097">
        <w:rPr>
          <w:rFonts w:ascii="Times New Roman" w:hAnsi="Times New Roman" w:cs="Times New Roman"/>
          <w:bCs/>
          <w:sz w:val="24"/>
          <w:szCs w:val="24"/>
        </w:rPr>
        <w:t xml:space="preserve"> труда, а также поощрение за выполненную работу.</w:t>
      </w:r>
    </w:p>
    <w:p w:rsidR="008361CF" w:rsidRPr="00525097" w:rsidRDefault="008361CF" w:rsidP="008361CF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5097">
        <w:rPr>
          <w:rFonts w:ascii="Times New Roman" w:hAnsi="Times New Roman" w:cs="Times New Roman"/>
          <w:bCs/>
          <w:sz w:val="24"/>
          <w:szCs w:val="24"/>
        </w:rPr>
        <w:t xml:space="preserve">Выплаты стимулирующего характера устанавливаются педагогическому работнику с учетом критериев, позволяющих оценить результативность и качество его работы. </w:t>
      </w:r>
    </w:p>
    <w:p w:rsidR="008361CF" w:rsidRPr="00525097" w:rsidRDefault="008361CF" w:rsidP="008361CF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5097">
        <w:rPr>
          <w:rFonts w:ascii="Times New Roman" w:hAnsi="Times New Roman" w:cs="Times New Roman"/>
          <w:bCs/>
          <w:sz w:val="24"/>
          <w:szCs w:val="24"/>
        </w:rPr>
        <w:t xml:space="preserve">Стимулирующие надбавки и доплаты устанавливаются в организации, осуществляющей образовательную деятельность, приказами руководителя организации в пределах фонда оплаты труда (ФОТ) и </w:t>
      </w:r>
      <w:r w:rsidRPr="00CD76A3">
        <w:rPr>
          <w:rFonts w:ascii="Times New Roman" w:hAnsi="Times New Roman" w:cs="Times New Roman"/>
          <w:bCs/>
          <w:sz w:val="24"/>
          <w:szCs w:val="24"/>
        </w:rPr>
        <w:t>максимальными размерами не ограничиваются.</w:t>
      </w:r>
    </w:p>
    <w:p w:rsidR="008361CF" w:rsidRPr="00525097" w:rsidRDefault="008361CF" w:rsidP="008361CF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5097">
        <w:rPr>
          <w:rFonts w:ascii="Times New Roman" w:hAnsi="Times New Roman" w:cs="Times New Roman"/>
          <w:bCs/>
          <w:sz w:val="24"/>
          <w:szCs w:val="24"/>
        </w:rPr>
        <w:t>Стимулирующие надбавки (доплаты) устанавливаются как в процентном отношении к установленному работнику должностному окладу в трудовом договоре, без учета повышающего коэффициента, так и в абсолютном размере.</w:t>
      </w:r>
    </w:p>
    <w:p w:rsidR="008361CF" w:rsidRPr="00525097" w:rsidRDefault="008361CF" w:rsidP="008361CF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76A3">
        <w:rPr>
          <w:rFonts w:ascii="Times New Roman" w:hAnsi="Times New Roman" w:cs="Times New Roman"/>
          <w:bCs/>
          <w:sz w:val="24"/>
          <w:szCs w:val="24"/>
        </w:rPr>
        <w:t>Минимальный размер стимулирующей надбавки (доплаты</w:t>
      </w:r>
      <w:r w:rsidR="00CD76A3" w:rsidRPr="00CD76A3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CD76A3">
        <w:rPr>
          <w:rFonts w:ascii="Times New Roman" w:hAnsi="Times New Roman" w:cs="Times New Roman"/>
          <w:bCs/>
          <w:sz w:val="24"/>
          <w:szCs w:val="24"/>
        </w:rPr>
        <w:t>устанавливается в размере не менее 1000 рублей.</w:t>
      </w:r>
    </w:p>
    <w:p w:rsidR="008361CF" w:rsidRPr="00525097" w:rsidRDefault="008361CF" w:rsidP="008361CF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5097">
        <w:rPr>
          <w:rFonts w:ascii="Times New Roman" w:hAnsi="Times New Roman" w:cs="Times New Roman"/>
          <w:bCs/>
          <w:sz w:val="24"/>
          <w:szCs w:val="24"/>
        </w:rPr>
        <w:t>Руководитель организации, осуществляющей образовательную деятельность, имеет право самостоятельно или с учетом представления руководителя структурного подразделения изменить размер стимулирующей надбавки (доплаты), либо полностью отменить ее выплату при условии некачественного и несвоевременного выполнения порученного руководителем задания (работы), невыполнения нормированного задания, объема порученной основной и (или) дополнительной работы и др. основаниям.</w:t>
      </w:r>
    </w:p>
    <w:p w:rsidR="008361CF" w:rsidRPr="00525097" w:rsidRDefault="008361CF" w:rsidP="008361CF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D76A3">
        <w:rPr>
          <w:rFonts w:ascii="Times New Roman" w:hAnsi="Times New Roman" w:cs="Times New Roman"/>
          <w:bCs/>
          <w:sz w:val="24"/>
          <w:szCs w:val="24"/>
        </w:rPr>
        <w:t>В указанных случаях к служебной записке прилагаются документы, подтверждающие допущенное сотрудником некачественное и несвоевременное выполнение порученного руководителем задания</w:t>
      </w:r>
      <w:r w:rsidRPr="00525097">
        <w:rPr>
          <w:rFonts w:ascii="Times New Roman" w:hAnsi="Times New Roman" w:cs="Times New Roman"/>
          <w:bCs/>
          <w:sz w:val="24"/>
          <w:szCs w:val="24"/>
        </w:rPr>
        <w:t xml:space="preserve"> (работы), невыполнение нормированного задания, объема порученной основной и (или) дополнительной работы или иные причины отмены или уменьшения размера надбавки (подтверждающие акты, объяснительные записки работника).</w:t>
      </w:r>
      <w:proofErr w:type="gramEnd"/>
    </w:p>
    <w:p w:rsidR="008361CF" w:rsidRPr="00CD76A3" w:rsidRDefault="008361CF" w:rsidP="008361CF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D76A3">
        <w:rPr>
          <w:rFonts w:ascii="Times New Roman" w:hAnsi="Times New Roman" w:cs="Times New Roman"/>
          <w:bCs/>
          <w:sz w:val="24"/>
          <w:szCs w:val="24"/>
        </w:rPr>
        <w:lastRenderedPageBreak/>
        <w:t>При отсутствии или недостатке финансовых средств, в том числе субсидии на финансовое обеспечение выполнения государственного задания на оказание государственных услуг (выполнение работ), целевой субсидии и средств, от приносящей доход деятельности по независящим от организации, осуществляющей образовательную деятельность, причинам, руководитель организации право пересмотреть их размеры на основании решения выборного представительного органа, осуществляющего общее руководство организацией.</w:t>
      </w:r>
      <w:proofErr w:type="gramEnd"/>
    </w:p>
    <w:p w:rsidR="008361CF" w:rsidRPr="00525097" w:rsidRDefault="008361CF" w:rsidP="008361CF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76A3">
        <w:rPr>
          <w:rFonts w:ascii="Times New Roman" w:hAnsi="Times New Roman" w:cs="Times New Roman"/>
          <w:bCs/>
          <w:sz w:val="24"/>
          <w:szCs w:val="24"/>
        </w:rPr>
        <w:t>Размер надбавки (доплаты) пересматривается при переводе работника на иную должность (работу, специальность) и (или) в</w:t>
      </w:r>
      <w:r w:rsidRPr="00525097">
        <w:rPr>
          <w:rFonts w:ascii="Times New Roman" w:hAnsi="Times New Roman" w:cs="Times New Roman"/>
          <w:bCs/>
          <w:sz w:val="24"/>
          <w:szCs w:val="24"/>
        </w:rPr>
        <w:t xml:space="preserve"> другое подразделение, а также в связи с изменением его функциональных обязанностей, характера выполняемых работ, а также при изменении системы оплаты труда. Размер надбавки (доплаты) может быть пересмотрен при установлении ее работнику на новый период.</w:t>
      </w:r>
    </w:p>
    <w:p w:rsidR="008361CF" w:rsidRPr="00525097" w:rsidRDefault="008361CF" w:rsidP="008361CF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5097">
        <w:rPr>
          <w:rFonts w:ascii="Times New Roman" w:hAnsi="Times New Roman" w:cs="Times New Roman"/>
          <w:b/>
          <w:bCs/>
          <w:sz w:val="24"/>
          <w:szCs w:val="24"/>
        </w:rPr>
        <w:t>Особенности установления стимулирующих выплат педагогическим работникам</w:t>
      </w:r>
    </w:p>
    <w:p w:rsidR="008361CF" w:rsidRPr="00525097" w:rsidRDefault="008361CF" w:rsidP="008361CF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5097">
        <w:rPr>
          <w:rFonts w:ascii="Times New Roman" w:hAnsi="Times New Roman" w:cs="Times New Roman"/>
          <w:bCs/>
          <w:sz w:val="24"/>
          <w:szCs w:val="24"/>
        </w:rPr>
        <w:t xml:space="preserve">Педагогическим работникам, в том числе на условиях внешнего совместительства, помимо надбавок, которые могут устанавливаться всем работникам организации, осуществляющей образовательную деятельность, могут быть установлены следующие ежемесячные стимулирующие надбавки. </w:t>
      </w:r>
    </w:p>
    <w:p w:rsidR="008361CF" w:rsidRPr="00CD76A3" w:rsidRDefault="008361CF" w:rsidP="008361CF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76A3">
        <w:rPr>
          <w:rFonts w:ascii="Times New Roman" w:hAnsi="Times New Roman" w:cs="Times New Roman"/>
          <w:b/>
          <w:bCs/>
          <w:sz w:val="24"/>
          <w:szCs w:val="24"/>
        </w:rPr>
        <w:t xml:space="preserve">Надбавка за высокий уровень образовательных результатов </w:t>
      </w:r>
      <w:proofErr w:type="gramStart"/>
      <w:r w:rsidRPr="00CD76A3">
        <w:rPr>
          <w:rFonts w:ascii="Times New Roman" w:hAnsi="Times New Roman" w:cs="Times New Roman"/>
          <w:b/>
          <w:bCs/>
          <w:sz w:val="24"/>
          <w:szCs w:val="24"/>
        </w:rPr>
        <w:t>у</w:t>
      </w:r>
      <w:proofErr w:type="gramEnd"/>
      <w:r w:rsidRPr="00CD76A3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</w:t>
      </w:r>
    </w:p>
    <w:p w:rsidR="008361CF" w:rsidRPr="00CD76A3" w:rsidRDefault="008361CF" w:rsidP="008361CF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76A3">
        <w:rPr>
          <w:rFonts w:ascii="Times New Roman" w:hAnsi="Times New Roman" w:cs="Times New Roman"/>
          <w:bCs/>
          <w:sz w:val="24"/>
          <w:szCs w:val="24"/>
        </w:rPr>
        <w:t xml:space="preserve">Надбавка устанавливается преподавателю по итогам окончившегося полугодия на период с 1 марта по 31 августа и с 1 сентября по 28(29) февраля. Надбавка устанавливается в зависимости от уровня образовательных результатов обучающихся по той дисциплине, по которой преподаватель проводил занятия. </w:t>
      </w:r>
    </w:p>
    <w:p w:rsidR="008361CF" w:rsidRPr="00525097" w:rsidRDefault="008361CF" w:rsidP="008361CF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76A3">
        <w:rPr>
          <w:rFonts w:ascii="Times New Roman" w:hAnsi="Times New Roman" w:cs="Times New Roman"/>
          <w:bCs/>
          <w:sz w:val="24"/>
          <w:szCs w:val="24"/>
        </w:rPr>
        <w:t>В случае</w:t>
      </w:r>
      <w:proofErr w:type="gramStart"/>
      <w:r w:rsidRPr="00CD76A3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CD76A3">
        <w:rPr>
          <w:rFonts w:ascii="Times New Roman" w:hAnsi="Times New Roman" w:cs="Times New Roman"/>
          <w:bCs/>
          <w:sz w:val="24"/>
          <w:szCs w:val="24"/>
        </w:rPr>
        <w:t xml:space="preserve"> если педагог проводил занятия по двум или более дисциплинам, используется среднее значение уровня образовательных результатов обучающихся по этим дисциплинам.</w:t>
      </w:r>
    </w:p>
    <w:p w:rsidR="008361CF" w:rsidRPr="00525097" w:rsidRDefault="008361CF" w:rsidP="008361CF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5097">
        <w:rPr>
          <w:rFonts w:ascii="Times New Roman" w:hAnsi="Times New Roman" w:cs="Times New Roman"/>
          <w:bCs/>
          <w:sz w:val="24"/>
          <w:szCs w:val="24"/>
        </w:rPr>
        <w:t>Надбавка устанавливается в процентах от должностного оклада ежемесячно при минимальном уровне освоения образовательных результатов 70 процентов. Размер надбавки увеличивается при повышении уровня образовательных результатов на основании приведенной шкалы: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536"/>
        <w:gridCol w:w="4394"/>
      </w:tblGrid>
      <w:tr w:rsidR="008361CF" w:rsidRPr="00525097" w:rsidTr="00CB7BAB">
        <w:tc>
          <w:tcPr>
            <w:tcW w:w="4536" w:type="dxa"/>
          </w:tcPr>
          <w:p w:rsidR="008361CF" w:rsidRPr="00525097" w:rsidRDefault="008361CF" w:rsidP="00CB7BA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25097">
              <w:rPr>
                <w:rFonts w:ascii="Times New Roman" w:hAnsi="Times New Roman" w:cs="Times New Roman"/>
                <w:bCs/>
              </w:rPr>
              <w:t>Уровень образовательных результатов</w:t>
            </w:r>
          </w:p>
        </w:tc>
        <w:tc>
          <w:tcPr>
            <w:tcW w:w="4394" w:type="dxa"/>
          </w:tcPr>
          <w:p w:rsidR="008361CF" w:rsidRPr="00525097" w:rsidRDefault="008361CF" w:rsidP="00CB7BA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25097">
              <w:rPr>
                <w:rFonts w:ascii="Times New Roman" w:hAnsi="Times New Roman" w:cs="Times New Roman"/>
                <w:bCs/>
              </w:rPr>
              <w:t xml:space="preserve">Размер надбавки, </w:t>
            </w:r>
            <w:proofErr w:type="gramStart"/>
            <w:r w:rsidRPr="00525097"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 w:rsidRPr="00525097">
              <w:rPr>
                <w:rFonts w:ascii="Times New Roman" w:hAnsi="Times New Roman" w:cs="Times New Roman"/>
                <w:bCs/>
              </w:rPr>
              <w:t xml:space="preserve"> % от оклада</w:t>
            </w:r>
          </w:p>
        </w:tc>
      </w:tr>
      <w:tr w:rsidR="008361CF" w:rsidRPr="00525097" w:rsidTr="00CB7BAB">
        <w:tc>
          <w:tcPr>
            <w:tcW w:w="4536" w:type="dxa"/>
          </w:tcPr>
          <w:p w:rsidR="008361CF" w:rsidRPr="00525097" w:rsidRDefault="008361CF" w:rsidP="00CB7BA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25097">
              <w:rPr>
                <w:rFonts w:ascii="Times New Roman" w:hAnsi="Times New Roman" w:cs="Times New Roman"/>
                <w:bCs/>
              </w:rPr>
              <w:t>от 90 до 100%</w:t>
            </w:r>
          </w:p>
        </w:tc>
        <w:tc>
          <w:tcPr>
            <w:tcW w:w="4394" w:type="dxa"/>
          </w:tcPr>
          <w:p w:rsidR="008361CF" w:rsidRPr="00525097" w:rsidRDefault="008361CF" w:rsidP="00CB7BA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25097">
              <w:rPr>
                <w:rFonts w:ascii="Times New Roman" w:hAnsi="Times New Roman" w:cs="Times New Roman"/>
                <w:bCs/>
              </w:rPr>
              <w:t>20</w:t>
            </w:r>
          </w:p>
        </w:tc>
      </w:tr>
      <w:tr w:rsidR="008361CF" w:rsidRPr="00525097" w:rsidTr="00CB7BAB">
        <w:tc>
          <w:tcPr>
            <w:tcW w:w="4536" w:type="dxa"/>
          </w:tcPr>
          <w:p w:rsidR="008361CF" w:rsidRPr="00525097" w:rsidRDefault="008361CF" w:rsidP="00CB7BA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25097">
              <w:rPr>
                <w:rFonts w:ascii="Times New Roman" w:hAnsi="Times New Roman" w:cs="Times New Roman"/>
                <w:bCs/>
              </w:rPr>
              <w:t>от 80 до 90 %</w:t>
            </w:r>
          </w:p>
        </w:tc>
        <w:tc>
          <w:tcPr>
            <w:tcW w:w="4394" w:type="dxa"/>
          </w:tcPr>
          <w:p w:rsidR="008361CF" w:rsidRPr="00525097" w:rsidRDefault="008361CF" w:rsidP="00CB7BA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25097">
              <w:rPr>
                <w:rFonts w:ascii="Times New Roman" w:hAnsi="Times New Roman" w:cs="Times New Roman"/>
                <w:bCs/>
              </w:rPr>
              <w:t>15</w:t>
            </w:r>
          </w:p>
        </w:tc>
      </w:tr>
      <w:tr w:rsidR="008361CF" w:rsidRPr="00525097" w:rsidTr="00CB7BAB">
        <w:tc>
          <w:tcPr>
            <w:tcW w:w="4536" w:type="dxa"/>
          </w:tcPr>
          <w:p w:rsidR="008361CF" w:rsidRPr="00525097" w:rsidRDefault="008361CF" w:rsidP="00CB7BA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25097">
              <w:rPr>
                <w:rFonts w:ascii="Times New Roman" w:hAnsi="Times New Roman" w:cs="Times New Roman"/>
                <w:bCs/>
              </w:rPr>
              <w:t>от 70 до 80 %</w:t>
            </w:r>
          </w:p>
        </w:tc>
        <w:tc>
          <w:tcPr>
            <w:tcW w:w="4394" w:type="dxa"/>
          </w:tcPr>
          <w:p w:rsidR="008361CF" w:rsidRPr="00525097" w:rsidRDefault="008361CF" w:rsidP="00CB7BA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25097">
              <w:rPr>
                <w:rFonts w:ascii="Times New Roman" w:hAnsi="Times New Roman" w:cs="Times New Roman"/>
                <w:bCs/>
              </w:rPr>
              <w:t>10</w:t>
            </w:r>
          </w:p>
        </w:tc>
      </w:tr>
    </w:tbl>
    <w:p w:rsidR="008361CF" w:rsidRPr="00525097" w:rsidRDefault="008361CF" w:rsidP="008361CF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097">
        <w:rPr>
          <w:rFonts w:ascii="Times New Roman" w:hAnsi="Times New Roman" w:cs="Times New Roman"/>
          <w:b/>
          <w:bCs/>
          <w:sz w:val="24"/>
          <w:szCs w:val="24"/>
        </w:rPr>
        <w:t>Надбавка за классное руководство.</w:t>
      </w:r>
    </w:p>
    <w:p w:rsidR="008361CF" w:rsidRPr="00525097" w:rsidRDefault="008361CF" w:rsidP="008361CF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61CF" w:rsidRPr="00525097" w:rsidRDefault="008361CF" w:rsidP="008361CF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5097">
        <w:rPr>
          <w:rFonts w:ascii="Times New Roman" w:hAnsi="Times New Roman" w:cs="Times New Roman"/>
          <w:bCs/>
          <w:sz w:val="24"/>
          <w:szCs w:val="24"/>
        </w:rPr>
        <w:t xml:space="preserve">Надбавка за качественное выполнение обязанностей классного руководителя устанавливается </w:t>
      </w:r>
      <w:r w:rsidRPr="00CD76A3">
        <w:rPr>
          <w:rFonts w:ascii="Times New Roman" w:hAnsi="Times New Roman" w:cs="Times New Roman"/>
          <w:bCs/>
          <w:sz w:val="24"/>
          <w:szCs w:val="24"/>
        </w:rPr>
        <w:t>в виде ежемесячной выплаты сроком на полугодие (с 01.09 по 31.01 и с 01.02 по 31.08) и составляет 10 процентов от должностного оклада педагога.</w:t>
      </w:r>
    </w:p>
    <w:p w:rsidR="008361CF" w:rsidRPr="00525097" w:rsidRDefault="008361CF" w:rsidP="008361CF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61CF" w:rsidRPr="00525097" w:rsidRDefault="008361CF" w:rsidP="008361CF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097">
        <w:rPr>
          <w:rFonts w:ascii="Times New Roman" w:hAnsi="Times New Roman" w:cs="Times New Roman"/>
          <w:b/>
          <w:bCs/>
          <w:sz w:val="24"/>
          <w:szCs w:val="24"/>
        </w:rPr>
        <w:t>Надбавка за качество выполнения учебно-методической работы.</w:t>
      </w:r>
    </w:p>
    <w:p w:rsidR="008361CF" w:rsidRPr="00525097" w:rsidRDefault="008361CF" w:rsidP="008361CF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5097">
        <w:rPr>
          <w:rFonts w:ascii="Times New Roman" w:hAnsi="Times New Roman" w:cs="Times New Roman"/>
          <w:bCs/>
          <w:sz w:val="24"/>
          <w:szCs w:val="24"/>
        </w:rPr>
        <w:t>За качество выполнения учебно-методической работы педагогам может быть установлена надбавка, пропорциональная объему выполненной работы.</w:t>
      </w:r>
    </w:p>
    <w:p w:rsidR="008361CF" w:rsidRPr="00525097" w:rsidRDefault="008361CF" w:rsidP="008361CF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5097">
        <w:rPr>
          <w:rFonts w:ascii="Times New Roman" w:hAnsi="Times New Roman" w:cs="Times New Roman"/>
          <w:bCs/>
          <w:sz w:val="24"/>
          <w:szCs w:val="24"/>
        </w:rPr>
        <w:t xml:space="preserve">Надбавка за качество выполнения учебно-методической работы устанавливается </w:t>
      </w:r>
      <w:proofErr w:type="gramStart"/>
      <w:r w:rsidRPr="00525097">
        <w:rPr>
          <w:rFonts w:ascii="Times New Roman" w:hAnsi="Times New Roman" w:cs="Times New Roman"/>
          <w:bCs/>
          <w:sz w:val="24"/>
          <w:szCs w:val="24"/>
        </w:rPr>
        <w:t>в виде поощрительной разовой выплаты два раза в год по итогам прошедшего полугодия за успешное выполнение порученного задания в соответствии</w:t>
      </w:r>
      <w:proofErr w:type="gramEnd"/>
      <w:r w:rsidRPr="00525097">
        <w:rPr>
          <w:rFonts w:ascii="Times New Roman" w:hAnsi="Times New Roman" w:cs="Times New Roman"/>
          <w:bCs/>
          <w:sz w:val="24"/>
          <w:szCs w:val="24"/>
        </w:rPr>
        <w:t xml:space="preserve"> с планом. </w:t>
      </w:r>
    </w:p>
    <w:p w:rsidR="008361CF" w:rsidRPr="00CD76A3" w:rsidRDefault="008361CF" w:rsidP="008361CF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D76A3">
        <w:rPr>
          <w:rFonts w:ascii="Times New Roman" w:hAnsi="Times New Roman" w:cs="Times New Roman"/>
          <w:bCs/>
          <w:sz w:val="24"/>
          <w:szCs w:val="24"/>
          <w:u w:val="single"/>
        </w:rPr>
        <w:t>Перечень примерных показателей для установления надбавки за качество выполнения учебно-методической работы:</w:t>
      </w:r>
    </w:p>
    <w:p w:rsidR="008361CF" w:rsidRPr="00CD76A3" w:rsidRDefault="008361CF" w:rsidP="008361CF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76A3">
        <w:rPr>
          <w:rFonts w:ascii="Times New Roman" w:hAnsi="Times New Roman" w:cs="Times New Roman"/>
          <w:bCs/>
          <w:sz w:val="24"/>
          <w:szCs w:val="24"/>
        </w:rPr>
        <w:t>- создание образовательной программы;</w:t>
      </w:r>
    </w:p>
    <w:p w:rsidR="008361CF" w:rsidRPr="00CD76A3" w:rsidRDefault="008361CF" w:rsidP="008361CF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76A3">
        <w:rPr>
          <w:rFonts w:ascii="Times New Roman" w:hAnsi="Times New Roman" w:cs="Times New Roman"/>
          <w:bCs/>
          <w:sz w:val="24"/>
          <w:szCs w:val="24"/>
        </w:rPr>
        <w:t>- создание учебного плана программы;</w:t>
      </w:r>
    </w:p>
    <w:p w:rsidR="008361CF" w:rsidRPr="00CD76A3" w:rsidRDefault="008361CF" w:rsidP="008361CF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76A3">
        <w:rPr>
          <w:rFonts w:ascii="Times New Roman" w:hAnsi="Times New Roman" w:cs="Times New Roman"/>
          <w:bCs/>
          <w:sz w:val="24"/>
          <w:szCs w:val="24"/>
        </w:rPr>
        <w:t>- создание годовых учебных планов;</w:t>
      </w:r>
    </w:p>
    <w:p w:rsidR="008361CF" w:rsidRPr="00CD76A3" w:rsidRDefault="008361CF" w:rsidP="008361CF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76A3">
        <w:rPr>
          <w:rFonts w:ascii="Times New Roman" w:hAnsi="Times New Roman" w:cs="Times New Roman"/>
          <w:bCs/>
          <w:sz w:val="24"/>
          <w:szCs w:val="24"/>
        </w:rPr>
        <w:t>- разработка и создание методических рекомендаций и указаний по выполнению предусмотренных в программе видов работ: домашних заданий, лабораторных работ, других видов работ;</w:t>
      </w:r>
    </w:p>
    <w:p w:rsidR="008361CF" w:rsidRPr="00CD76A3" w:rsidRDefault="008361CF" w:rsidP="008361CF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76A3">
        <w:rPr>
          <w:rFonts w:ascii="Times New Roman" w:hAnsi="Times New Roman" w:cs="Times New Roman"/>
          <w:bCs/>
          <w:sz w:val="24"/>
          <w:szCs w:val="24"/>
        </w:rPr>
        <w:t>- создание комплекта контрольно-оценочных средств по всем дисциплинарным модулям дисциплины (набор вопросов и задач) для организации объективного (письменного) контроля результатов освоения дисциплины:</w:t>
      </w:r>
    </w:p>
    <w:p w:rsidR="008361CF" w:rsidRPr="00525097" w:rsidRDefault="008361CF" w:rsidP="008361CF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76A3">
        <w:rPr>
          <w:rFonts w:ascii="Times New Roman" w:hAnsi="Times New Roman" w:cs="Times New Roman"/>
          <w:bCs/>
          <w:sz w:val="24"/>
          <w:szCs w:val="24"/>
        </w:rPr>
        <w:t xml:space="preserve">- организация среды электронного обучения (сайт педагога, электронная почта, </w:t>
      </w:r>
      <w:proofErr w:type="spellStart"/>
      <w:r w:rsidRPr="00CD76A3">
        <w:rPr>
          <w:rFonts w:ascii="Times New Roman" w:hAnsi="Times New Roman" w:cs="Times New Roman"/>
          <w:bCs/>
          <w:sz w:val="24"/>
          <w:szCs w:val="24"/>
        </w:rPr>
        <w:t>Moodle</w:t>
      </w:r>
      <w:proofErr w:type="spellEnd"/>
      <w:r w:rsidRPr="00CD76A3">
        <w:rPr>
          <w:rFonts w:ascii="Times New Roman" w:hAnsi="Times New Roman" w:cs="Times New Roman"/>
          <w:bCs/>
          <w:sz w:val="24"/>
          <w:szCs w:val="24"/>
        </w:rPr>
        <w:t xml:space="preserve"> и т.п.) и размещение в ней учебно-методических материалов, проведение консультаций, прием домашних заданий и т.п.;</w:t>
      </w:r>
      <w:bookmarkStart w:id="0" w:name="_GoBack"/>
      <w:bookmarkEnd w:id="0"/>
    </w:p>
    <w:p w:rsidR="008361CF" w:rsidRPr="00525097" w:rsidRDefault="008361CF" w:rsidP="008361CF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5097">
        <w:rPr>
          <w:rFonts w:ascii="Times New Roman" w:hAnsi="Times New Roman" w:cs="Times New Roman"/>
          <w:bCs/>
          <w:sz w:val="24"/>
          <w:szCs w:val="24"/>
        </w:rPr>
        <w:t xml:space="preserve">Размерность надбавки за качество выполнения учебно-методической работы устанавливается приказом руководителя организации, осуществляющей образовательную деятельность. </w:t>
      </w:r>
    </w:p>
    <w:p w:rsidR="008361CF" w:rsidRPr="00525097" w:rsidRDefault="008361CF" w:rsidP="008361CF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097">
        <w:rPr>
          <w:rFonts w:ascii="Times New Roman" w:hAnsi="Times New Roman" w:cs="Times New Roman"/>
          <w:b/>
          <w:bCs/>
          <w:sz w:val="24"/>
          <w:szCs w:val="24"/>
        </w:rPr>
        <w:t>Надбавки за присвоение дифференцированного уровня квалификации педагога устанавливаются на период присвоения уровня квалификации (приложение):</w:t>
      </w:r>
    </w:p>
    <w:p w:rsidR="008361CF" w:rsidRPr="00525097" w:rsidRDefault="008361CF" w:rsidP="008361CF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5097">
        <w:rPr>
          <w:rFonts w:ascii="Times New Roman" w:hAnsi="Times New Roman" w:cs="Times New Roman"/>
          <w:bCs/>
          <w:sz w:val="24"/>
          <w:szCs w:val="24"/>
        </w:rPr>
        <w:t>- надбавка за присвоение первого дифференцированного уровня квалификации;</w:t>
      </w:r>
    </w:p>
    <w:p w:rsidR="008361CF" w:rsidRPr="00525097" w:rsidRDefault="008361CF" w:rsidP="008361CF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5097">
        <w:rPr>
          <w:rFonts w:ascii="Times New Roman" w:hAnsi="Times New Roman" w:cs="Times New Roman"/>
          <w:bCs/>
          <w:sz w:val="24"/>
          <w:szCs w:val="24"/>
        </w:rPr>
        <w:t>- надбавка за присвоение второго дифференцированного уровня квалификации;</w:t>
      </w:r>
    </w:p>
    <w:p w:rsidR="008361CF" w:rsidRPr="00525097" w:rsidRDefault="008361CF" w:rsidP="008361CF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5097">
        <w:rPr>
          <w:rFonts w:ascii="Times New Roman" w:hAnsi="Times New Roman" w:cs="Times New Roman"/>
          <w:bCs/>
          <w:sz w:val="24"/>
          <w:szCs w:val="24"/>
        </w:rPr>
        <w:t>- надбавка за присвоение третьего дифференцированного уровня квалификации;</w:t>
      </w:r>
    </w:p>
    <w:p w:rsidR="008361CF" w:rsidRPr="00525097" w:rsidRDefault="008361CF" w:rsidP="008361CF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5097">
        <w:rPr>
          <w:rFonts w:ascii="Times New Roman" w:hAnsi="Times New Roman" w:cs="Times New Roman"/>
          <w:bCs/>
          <w:sz w:val="24"/>
          <w:szCs w:val="24"/>
        </w:rPr>
        <w:t>- надбавка за присвоение четвертого дифференцированного уровня квалификации.</w:t>
      </w:r>
    </w:p>
    <w:p w:rsidR="008361CF" w:rsidRPr="00525097" w:rsidRDefault="008361CF" w:rsidP="008361CF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097">
        <w:rPr>
          <w:rFonts w:ascii="Times New Roman" w:hAnsi="Times New Roman" w:cs="Times New Roman"/>
          <w:b/>
          <w:bCs/>
          <w:sz w:val="24"/>
          <w:szCs w:val="24"/>
        </w:rPr>
        <w:t>Надбавки за качество выполняемых работ:</w:t>
      </w:r>
    </w:p>
    <w:p w:rsidR="008361CF" w:rsidRPr="00525097" w:rsidRDefault="008361CF" w:rsidP="008361CF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509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- </w:t>
      </w:r>
      <w:r w:rsidRPr="00525097">
        <w:rPr>
          <w:rFonts w:ascii="Times New Roman" w:hAnsi="Times New Roman" w:cs="Times New Roman"/>
          <w:bCs/>
          <w:sz w:val="24"/>
          <w:szCs w:val="24"/>
        </w:rPr>
        <w:t>надбавка за качество работы и высокий профессионализм;</w:t>
      </w:r>
    </w:p>
    <w:p w:rsidR="008361CF" w:rsidRPr="00525097" w:rsidRDefault="008361CF" w:rsidP="008361CF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5097">
        <w:rPr>
          <w:rFonts w:ascii="Times New Roman" w:hAnsi="Times New Roman" w:cs="Times New Roman"/>
          <w:bCs/>
          <w:sz w:val="24"/>
          <w:szCs w:val="24"/>
        </w:rPr>
        <w:t>- надбавка за наличие почетных званий у работников образовательной организации при условии качественного выполнения ими своих должностных обязанностей - в размере 10% от должностного оклада:</w:t>
      </w:r>
    </w:p>
    <w:p w:rsidR="008361CF" w:rsidRPr="00525097" w:rsidRDefault="008361CF" w:rsidP="008361CF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5097">
        <w:rPr>
          <w:rFonts w:ascii="Times New Roman" w:hAnsi="Times New Roman" w:cs="Times New Roman"/>
          <w:bCs/>
          <w:sz w:val="24"/>
          <w:szCs w:val="24"/>
        </w:rPr>
        <w:t>«Заслуженный работник высшей школы Российской Федерации (СССР)»;</w:t>
      </w:r>
    </w:p>
    <w:p w:rsidR="008361CF" w:rsidRPr="00525097" w:rsidRDefault="008361CF" w:rsidP="008361CF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5097">
        <w:rPr>
          <w:rFonts w:ascii="Times New Roman" w:hAnsi="Times New Roman" w:cs="Times New Roman"/>
          <w:bCs/>
          <w:sz w:val="24"/>
          <w:szCs w:val="24"/>
        </w:rPr>
        <w:t>«Заслуженный деятель науки и техники Российской Федерации (СССР)», «Заслуженный  деятель науки»;</w:t>
      </w:r>
    </w:p>
    <w:p w:rsidR="008361CF" w:rsidRPr="00525097" w:rsidRDefault="008361CF" w:rsidP="008361CF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5097">
        <w:rPr>
          <w:rFonts w:ascii="Times New Roman" w:hAnsi="Times New Roman" w:cs="Times New Roman"/>
          <w:bCs/>
          <w:sz w:val="24"/>
          <w:szCs w:val="24"/>
        </w:rPr>
        <w:t>действительного члена и члена-корреспондента академий наук Российской Федерации, имеющих государственный статус,</w:t>
      </w:r>
    </w:p>
    <w:p w:rsidR="008361CF" w:rsidRPr="00525097" w:rsidRDefault="008361CF" w:rsidP="008361CF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5097">
        <w:rPr>
          <w:rFonts w:ascii="Times New Roman" w:hAnsi="Times New Roman" w:cs="Times New Roman"/>
          <w:bCs/>
          <w:sz w:val="24"/>
          <w:szCs w:val="24"/>
        </w:rPr>
        <w:t>• лауреата Государственных премий Российской Федерации (СССР)</w:t>
      </w:r>
    </w:p>
    <w:p w:rsidR="008361CF" w:rsidRPr="00525097" w:rsidRDefault="008361CF" w:rsidP="008361CF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5097">
        <w:rPr>
          <w:rFonts w:ascii="Times New Roman" w:hAnsi="Times New Roman" w:cs="Times New Roman"/>
          <w:bCs/>
          <w:sz w:val="24"/>
          <w:szCs w:val="24"/>
        </w:rPr>
        <w:t>• лауреат премий Президента Российской Федерации,</w:t>
      </w:r>
    </w:p>
    <w:p w:rsidR="008361CF" w:rsidRPr="00525097" w:rsidRDefault="008361CF" w:rsidP="008361CF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5097">
        <w:rPr>
          <w:rFonts w:ascii="Times New Roman" w:hAnsi="Times New Roman" w:cs="Times New Roman"/>
          <w:bCs/>
          <w:sz w:val="24"/>
          <w:szCs w:val="24"/>
        </w:rPr>
        <w:t>• лауреат премий Правительства Российской Федерации,</w:t>
      </w:r>
    </w:p>
    <w:p w:rsidR="008361CF" w:rsidRPr="00525097" w:rsidRDefault="008361CF" w:rsidP="008361CF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5097">
        <w:rPr>
          <w:rFonts w:ascii="Times New Roman" w:hAnsi="Times New Roman" w:cs="Times New Roman"/>
          <w:bCs/>
          <w:sz w:val="24"/>
          <w:szCs w:val="24"/>
        </w:rPr>
        <w:t>• лауреат премий Совета Министров СССР,</w:t>
      </w:r>
    </w:p>
    <w:p w:rsidR="008361CF" w:rsidRPr="00525097" w:rsidRDefault="008361CF" w:rsidP="008361CF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5097">
        <w:rPr>
          <w:rFonts w:ascii="Times New Roman" w:hAnsi="Times New Roman" w:cs="Times New Roman"/>
          <w:bCs/>
          <w:sz w:val="24"/>
          <w:szCs w:val="24"/>
        </w:rPr>
        <w:t>• лауреат премий Совета Министров РСФСР,</w:t>
      </w:r>
    </w:p>
    <w:p w:rsidR="008361CF" w:rsidRPr="00525097" w:rsidRDefault="008361CF" w:rsidP="008361CF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5097">
        <w:rPr>
          <w:rFonts w:ascii="Times New Roman" w:hAnsi="Times New Roman" w:cs="Times New Roman"/>
          <w:bCs/>
          <w:sz w:val="24"/>
          <w:szCs w:val="24"/>
        </w:rPr>
        <w:t>• лауреат Премий Минвуза СССР,</w:t>
      </w:r>
    </w:p>
    <w:p w:rsidR="008361CF" w:rsidRPr="00525097" w:rsidRDefault="008361CF" w:rsidP="008361CF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5097">
        <w:rPr>
          <w:rFonts w:ascii="Times New Roman" w:hAnsi="Times New Roman" w:cs="Times New Roman"/>
          <w:bCs/>
          <w:sz w:val="24"/>
          <w:szCs w:val="24"/>
        </w:rPr>
        <w:t xml:space="preserve">• лауреат премий </w:t>
      </w:r>
      <w:proofErr w:type="spellStart"/>
      <w:r w:rsidRPr="00525097">
        <w:rPr>
          <w:rFonts w:ascii="Times New Roman" w:hAnsi="Times New Roman" w:cs="Times New Roman"/>
          <w:bCs/>
          <w:sz w:val="24"/>
          <w:szCs w:val="24"/>
        </w:rPr>
        <w:t>Гособразования</w:t>
      </w:r>
      <w:proofErr w:type="spellEnd"/>
      <w:r w:rsidRPr="00525097">
        <w:rPr>
          <w:rFonts w:ascii="Times New Roman" w:hAnsi="Times New Roman" w:cs="Times New Roman"/>
          <w:bCs/>
          <w:sz w:val="24"/>
          <w:szCs w:val="24"/>
        </w:rPr>
        <w:t xml:space="preserve"> Министерства образования и науки России,</w:t>
      </w:r>
    </w:p>
    <w:p w:rsidR="008361CF" w:rsidRPr="00525097" w:rsidRDefault="008361CF" w:rsidP="008361CF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5097">
        <w:rPr>
          <w:rFonts w:ascii="Times New Roman" w:hAnsi="Times New Roman" w:cs="Times New Roman"/>
          <w:bCs/>
          <w:sz w:val="24"/>
          <w:szCs w:val="24"/>
        </w:rPr>
        <w:t>• лауреат Ленинской премии,</w:t>
      </w:r>
    </w:p>
    <w:p w:rsidR="008361CF" w:rsidRPr="00525097" w:rsidRDefault="008361CF" w:rsidP="008361CF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5097">
        <w:rPr>
          <w:rFonts w:ascii="Times New Roman" w:hAnsi="Times New Roman" w:cs="Times New Roman"/>
          <w:bCs/>
          <w:sz w:val="24"/>
          <w:szCs w:val="24"/>
        </w:rPr>
        <w:t>• лауреат премии Ленинского комсомола,</w:t>
      </w:r>
    </w:p>
    <w:p w:rsidR="008361CF" w:rsidRPr="00525097" w:rsidRDefault="008361CF" w:rsidP="008361CF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5097">
        <w:rPr>
          <w:rFonts w:ascii="Times New Roman" w:hAnsi="Times New Roman" w:cs="Times New Roman"/>
          <w:bCs/>
          <w:sz w:val="24"/>
          <w:szCs w:val="24"/>
        </w:rPr>
        <w:t>• героя Советского Союза,</w:t>
      </w:r>
    </w:p>
    <w:p w:rsidR="008361CF" w:rsidRPr="00525097" w:rsidRDefault="008361CF" w:rsidP="008361CF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5097">
        <w:rPr>
          <w:rFonts w:ascii="Times New Roman" w:hAnsi="Times New Roman" w:cs="Times New Roman"/>
          <w:bCs/>
          <w:sz w:val="24"/>
          <w:szCs w:val="24"/>
        </w:rPr>
        <w:t>• героя России,</w:t>
      </w:r>
    </w:p>
    <w:p w:rsidR="008361CF" w:rsidRPr="00525097" w:rsidRDefault="008361CF" w:rsidP="008361CF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5097">
        <w:rPr>
          <w:rFonts w:ascii="Times New Roman" w:hAnsi="Times New Roman" w:cs="Times New Roman"/>
          <w:bCs/>
          <w:sz w:val="24"/>
          <w:szCs w:val="24"/>
        </w:rPr>
        <w:t>• героя труда,</w:t>
      </w:r>
    </w:p>
    <w:p w:rsidR="008361CF" w:rsidRPr="00525097" w:rsidRDefault="008361CF" w:rsidP="008361CF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5097">
        <w:rPr>
          <w:rFonts w:ascii="Times New Roman" w:hAnsi="Times New Roman" w:cs="Times New Roman"/>
          <w:bCs/>
          <w:sz w:val="24"/>
          <w:szCs w:val="24"/>
        </w:rPr>
        <w:t xml:space="preserve">• иными почетными званиями, в сфере науки и образования, культуры СССР, </w:t>
      </w:r>
      <w:proofErr w:type="spellStart"/>
      <w:r w:rsidRPr="00525097">
        <w:rPr>
          <w:rFonts w:ascii="Times New Roman" w:hAnsi="Times New Roman" w:cs="Times New Roman"/>
          <w:bCs/>
          <w:sz w:val="24"/>
          <w:szCs w:val="24"/>
        </w:rPr>
        <w:t>Рособразования</w:t>
      </w:r>
      <w:proofErr w:type="spellEnd"/>
      <w:r w:rsidRPr="00525097">
        <w:rPr>
          <w:rFonts w:ascii="Times New Roman" w:hAnsi="Times New Roman" w:cs="Times New Roman"/>
          <w:bCs/>
          <w:sz w:val="24"/>
          <w:szCs w:val="24"/>
        </w:rPr>
        <w:t>, (кроме почетных грамот и благодарностей);</w:t>
      </w:r>
    </w:p>
    <w:p w:rsidR="008361CF" w:rsidRPr="00525097" w:rsidRDefault="008361CF" w:rsidP="008361CF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5097">
        <w:rPr>
          <w:rFonts w:ascii="Times New Roman" w:hAnsi="Times New Roman" w:cs="Times New Roman"/>
          <w:bCs/>
          <w:sz w:val="24"/>
          <w:szCs w:val="24"/>
        </w:rPr>
        <w:t>«Народный учитель СССР», «Заслуженный учитель школы Российской Федерации»;</w:t>
      </w:r>
    </w:p>
    <w:p w:rsidR="008361CF" w:rsidRPr="00525097" w:rsidRDefault="008361CF" w:rsidP="008361CF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25097">
        <w:rPr>
          <w:rFonts w:ascii="Times New Roman" w:hAnsi="Times New Roman" w:cs="Times New Roman"/>
          <w:bCs/>
          <w:sz w:val="24"/>
          <w:szCs w:val="24"/>
        </w:rPr>
        <w:t>- надбавка работникам, награжденным отраслевыми нагрудным знаками,</w:t>
      </w:r>
      <w:r w:rsidRPr="00525097">
        <w:rPr>
          <w:rFonts w:ascii="Times New Roman" w:hAnsi="Times New Roman" w:cs="Times New Roman"/>
          <w:sz w:val="24"/>
          <w:szCs w:val="24"/>
        </w:rPr>
        <w:t xml:space="preserve"> </w:t>
      </w:r>
      <w:r w:rsidRPr="00525097">
        <w:rPr>
          <w:rFonts w:ascii="Times New Roman" w:hAnsi="Times New Roman" w:cs="Times New Roman"/>
          <w:bCs/>
          <w:sz w:val="24"/>
          <w:szCs w:val="24"/>
        </w:rPr>
        <w:t>при условии качественного выполнения ими своих должностных обязанностей - в размере 10 % от должностного оклада:</w:t>
      </w:r>
      <w:proofErr w:type="gramEnd"/>
    </w:p>
    <w:p w:rsidR="008361CF" w:rsidRPr="00525097" w:rsidRDefault="008361CF" w:rsidP="008361CF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5097">
        <w:rPr>
          <w:rFonts w:ascii="Times New Roman" w:hAnsi="Times New Roman" w:cs="Times New Roman"/>
          <w:bCs/>
          <w:sz w:val="24"/>
          <w:szCs w:val="24"/>
        </w:rPr>
        <w:t xml:space="preserve"> «Отличник просвещения СССР», «Отличник народного просвещения»;</w:t>
      </w:r>
    </w:p>
    <w:p w:rsidR="008361CF" w:rsidRPr="00525097" w:rsidRDefault="008361CF" w:rsidP="008361CF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5097">
        <w:rPr>
          <w:rFonts w:ascii="Times New Roman" w:hAnsi="Times New Roman" w:cs="Times New Roman"/>
          <w:bCs/>
          <w:sz w:val="24"/>
          <w:szCs w:val="24"/>
        </w:rPr>
        <w:t xml:space="preserve"> «Почётный работник общего образования Российской Федерации»;</w:t>
      </w:r>
    </w:p>
    <w:p w:rsidR="008361CF" w:rsidRPr="00525097" w:rsidRDefault="008361CF" w:rsidP="008361CF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5097">
        <w:rPr>
          <w:rFonts w:ascii="Times New Roman" w:hAnsi="Times New Roman" w:cs="Times New Roman"/>
          <w:bCs/>
          <w:sz w:val="24"/>
          <w:szCs w:val="24"/>
        </w:rPr>
        <w:t xml:space="preserve"> «Почётный работник среднего профессионального образования Российской Федерации»;</w:t>
      </w:r>
    </w:p>
    <w:p w:rsidR="008361CF" w:rsidRPr="00525097" w:rsidRDefault="008361CF" w:rsidP="008361CF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5097">
        <w:rPr>
          <w:rFonts w:ascii="Times New Roman" w:hAnsi="Times New Roman" w:cs="Times New Roman"/>
          <w:bCs/>
          <w:sz w:val="24"/>
          <w:szCs w:val="24"/>
        </w:rPr>
        <w:t xml:space="preserve"> «Почётный работник высшего профессионального образования Российской Федерации»;</w:t>
      </w:r>
    </w:p>
    <w:p w:rsidR="008361CF" w:rsidRPr="00525097" w:rsidRDefault="008361CF" w:rsidP="008361CF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5097">
        <w:rPr>
          <w:rFonts w:ascii="Times New Roman" w:hAnsi="Times New Roman" w:cs="Times New Roman"/>
          <w:bCs/>
          <w:sz w:val="24"/>
          <w:szCs w:val="24"/>
        </w:rPr>
        <w:t xml:space="preserve">знаками отличия «За заслуги перед Москвой», «За безупречную службу городу Москве»; </w:t>
      </w:r>
    </w:p>
    <w:p w:rsidR="008361CF" w:rsidRPr="00525097" w:rsidRDefault="008361CF" w:rsidP="008361CF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5097">
        <w:rPr>
          <w:rFonts w:ascii="Times New Roman" w:hAnsi="Times New Roman" w:cs="Times New Roman"/>
          <w:bCs/>
          <w:sz w:val="24"/>
          <w:szCs w:val="24"/>
        </w:rPr>
        <w:lastRenderedPageBreak/>
        <w:t>«Почётный работник образования города Москвы».</w:t>
      </w:r>
    </w:p>
    <w:p w:rsidR="008361CF" w:rsidRPr="00525097" w:rsidRDefault="008361CF" w:rsidP="008361CF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5097">
        <w:rPr>
          <w:rFonts w:ascii="Times New Roman" w:hAnsi="Times New Roman" w:cs="Times New Roman"/>
          <w:bCs/>
          <w:sz w:val="24"/>
          <w:szCs w:val="24"/>
        </w:rPr>
        <w:t xml:space="preserve"> При наличии двух и более почетных званий или наград стимулирующая надбавка устанавливается по одному из оснований.</w:t>
      </w:r>
    </w:p>
    <w:p w:rsidR="008361CF" w:rsidRPr="00525097" w:rsidRDefault="008361CF" w:rsidP="008361CF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5097">
        <w:rPr>
          <w:rFonts w:ascii="Times New Roman" w:hAnsi="Times New Roman" w:cs="Times New Roman"/>
          <w:bCs/>
          <w:sz w:val="24"/>
          <w:szCs w:val="24"/>
        </w:rPr>
        <w:t>Выплата по всем указанным видам стимулирующих надбавок (доплат) производится в пределах фонда оплаты труда образовательной организации. Как правило, стимулирующие надбавки устанавливаются на срок от 3-х месяцев до одного года в пределах календарного года. Отдельным работникам по разрешению руководителя образовательной организации стимулирующая надбавка за качество работы и высокий профессионализм может устанавливаться на неопределенный срок.</w:t>
      </w:r>
    </w:p>
    <w:p w:rsidR="008361CF" w:rsidRPr="00525097" w:rsidRDefault="008361CF" w:rsidP="008361CF">
      <w:pPr>
        <w:shd w:val="clear" w:color="auto" w:fill="FFFFFF"/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4E93" w:rsidRDefault="00484E93"/>
    <w:sectPr w:rsidR="00484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CF"/>
    <w:rsid w:val="000F21CF"/>
    <w:rsid w:val="00484E93"/>
    <w:rsid w:val="008361CF"/>
    <w:rsid w:val="00CB7BAB"/>
    <w:rsid w:val="00CD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6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6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2002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2015-12-14T04:31:00Z</dcterms:created>
  <dcterms:modified xsi:type="dcterms:W3CDTF">2015-12-23T01:26:00Z</dcterms:modified>
</cp:coreProperties>
</file>